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DF5A4" w14:textId="77777777" w:rsidR="008F211E" w:rsidRDefault="008F211E" w:rsidP="008F211E">
      <w:pPr>
        <w:rPr>
          <w:rFonts w:ascii="Calibri Light" w:hAnsi="Calibri Light" w:cs="Calibri Light"/>
        </w:rPr>
      </w:pPr>
      <w:r>
        <w:rPr>
          <w:noProof/>
        </w:rPr>
        <w:drawing>
          <wp:inline distT="0" distB="0" distL="0" distR="0" wp14:anchorId="6DD89F5E" wp14:editId="2A66C233">
            <wp:extent cx="5629275" cy="885825"/>
            <wp:effectExtent l="0" t="0" r="9525" b="9525"/>
            <wp:docPr id="1" name="Picture 1" descr="cid:image002.jpg@01D55759.CF7B2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5759.CF7B2E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629275" cy="885825"/>
                    </a:xfrm>
                    <a:prstGeom prst="rect">
                      <a:avLst/>
                    </a:prstGeom>
                    <a:noFill/>
                    <a:ln>
                      <a:noFill/>
                    </a:ln>
                  </pic:spPr>
                </pic:pic>
              </a:graphicData>
            </a:graphic>
          </wp:inline>
        </w:drawing>
      </w:r>
    </w:p>
    <w:p w14:paraId="77FB12A1" w14:textId="71BF1C49" w:rsidR="009A6EF5" w:rsidRPr="009B2FA1" w:rsidRDefault="00213B86" w:rsidP="009A6EF5">
      <w:pPr>
        <w:pStyle w:val="NormalWeb"/>
        <w:rPr>
          <w:rFonts w:asciiTheme="majorHAnsi" w:hAnsiTheme="majorHAnsi" w:cstheme="majorHAnsi"/>
        </w:rPr>
      </w:pPr>
      <w:bookmarkStart w:id="0" w:name="_Hlk36208016"/>
      <w:bookmarkStart w:id="1" w:name="_GoBack"/>
      <w:r w:rsidRPr="000C0C6C">
        <w:rPr>
          <w:rFonts w:asciiTheme="majorHAnsi" w:hAnsiTheme="majorHAnsi" w:cstheme="majorHAnsi"/>
          <w:b/>
          <w:sz w:val="24"/>
        </w:rPr>
        <w:t>Indiana</w:t>
      </w:r>
      <w:r w:rsidR="009A6EF5" w:rsidRPr="000C0C6C">
        <w:rPr>
          <w:rFonts w:asciiTheme="majorHAnsi" w:hAnsiTheme="majorHAnsi" w:cstheme="majorHAnsi"/>
          <w:b/>
          <w:sz w:val="24"/>
        </w:rPr>
        <w:t xml:space="preserve"> </w:t>
      </w:r>
      <w:r w:rsidR="00C01168" w:rsidRPr="000C0C6C">
        <w:rPr>
          <w:rFonts w:asciiTheme="majorHAnsi" w:hAnsiTheme="majorHAnsi" w:cstheme="majorHAnsi"/>
          <w:b/>
          <w:sz w:val="24"/>
        </w:rPr>
        <w:t xml:space="preserve">Independent </w:t>
      </w:r>
      <w:r w:rsidR="009A6EF5" w:rsidRPr="000C0C6C">
        <w:rPr>
          <w:rFonts w:asciiTheme="majorHAnsi" w:hAnsiTheme="majorHAnsi" w:cstheme="majorHAnsi"/>
          <w:b/>
          <w:sz w:val="24"/>
        </w:rPr>
        <w:t>Agency Owners</w:t>
      </w:r>
      <w:r w:rsidR="009A6EF5" w:rsidRPr="009B2FA1">
        <w:rPr>
          <w:rFonts w:asciiTheme="majorHAnsi" w:hAnsiTheme="majorHAnsi" w:cstheme="majorHAnsi"/>
        </w:rPr>
        <w:t>,</w:t>
      </w:r>
    </w:p>
    <w:p w14:paraId="606A1172" w14:textId="77777777" w:rsidR="00051FC6" w:rsidRPr="009B2FA1" w:rsidRDefault="00051FC6" w:rsidP="00051FC6">
      <w:pPr>
        <w:pStyle w:val="Default"/>
        <w:rPr>
          <w:rFonts w:asciiTheme="majorHAnsi" w:hAnsiTheme="majorHAnsi" w:cstheme="majorBidi"/>
          <w:color w:val="auto"/>
          <w:sz w:val="22"/>
          <w:szCs w:val="22"/>
        </w:rPr>
      </w:pPr>
      <w:r w:rsidRPr="4AA7E622">
        <w:rPr>
          <w:rFonts w:asciiTheme="majorHAnsi" w:hAnsiTheme="majorHAnsi" w:cstheme="majorBidi"/>
          <w:color w:val="auto"/>
          <w:sz w:val="22"/>
          <w:szCs w:val="22"/>
        </w:rPr>
        <w:t xml:space="preserve">On </w:t>
      </w:r>
      <w:r w:rsidRPr="4AA7E622">
        <w:rPr>
          <w:rFonts w:asciiTheme="majorHAnsi" w:hAnsiTheme="majorHAnsi" w:cstheme="majorBidi"/>
          <w:b/>
          <w:bCs/>
          <w:i/>
          <w:iCs/>
          <w:color w:val="auto"/>
          <w:sz w:val="22"/>
          <w:szCs w:val="22"/>
        </w:rPr>
        <w:t xml:space="preserve">March </w:t>
      </w:r>
      <w:r>
        <w:rPr>
          <w:rFonts w:asciiTheme="majorHAnsi" w:hAnsiTheme="majorHAnsi" w:cstheme="majorBidi"/>
          <w:b/>
          <w:bCs/>
          <w:i/>
          <w:iCs/>
          <w:color w:val="auto"/>
          <w:sz w:val="22"/>
          <w:szCs w:val="22"/>
        </w:rPr>
        <w:t>6</w:t>
      </w:r>
      <w:r w:rsidRPr="4AA7E622">
        <w:rPr>
          <w:rFonts w:asciiTheme="majorHAnsi" w:hAnsiTheme="majorHAnsi" w:cstheme="majorBidi"/>
          <w:b/>
          <w:bCs/>
          <w:i/>
          <w:iCs/>
          <w:color w:val="auto"/>
          <w:sz w:val="22"/>
          <w:szCs w:val="22"/>
        </w:rPr>
        <w:t>, 2020</w:t>
      </w:r>
      <w:r w:rsidRPr="4AA7E622">
        <w:rPr>
          <w:rFonts w:asciiTheme="majorHAnsi" w:hAnsiTheme="majorHAnsi" w:cstheme="majorBidi"/>
          <w:color w:val="FF0000"/>
          <w:sz w:val="22"/>
          <w:szCs w:val="22"/>
        </w:rPr>
        <w:t xml:space="preserve"> </w:t>
      </w:r>
      <w:r w:rsidRPr="4AA7E622">
        <w:rPr>
          <w:rFonts w:asciiTheme="majorHAnsi" w:hAnsiTheme="majorHAnsi" w:cstheme="majorBidi"/>
          <w:color w:val="auto"/>
          <w:sz w:val="22"/>
          <w:szCs w:val="22"/>
        </w:rPr>
        <w:t>Governor Eric J. Holcomb declared a state of emergency</w:t>
      </w:r>
      <w:r>
        <w:rPr>
          <w:rFonts w:asciiTheme="majorHAnsi" w:hAnsiTheme="majorHAnsi" w:cstheme="majorBidi"/>
          <w:color w:val="auto"/>
          <w:sz w:val="22"/>
          <w:szCs w:val="22"/>
        </w:rPr>
        <w:t xml:space="preserve"> related to COVID-19</w:t>
      </w:r>
      <w:r w:rsidRPr="4AA7E622">
        <w:rPr>
          <w:rFonts w:asciiTheme="majorHAnsi" w:hAnsiTheme="majorHAnsi" w:cstheme="majorBidi"/>
          <w:color w:val="auto"/>
          <w:sz w:val="22"/>
          <w:szCs w:val="22"/>
        </w:rPr>
        <w:t xml:space="preserve">. The Indiana Department of Insurance </w:t>
      </w:r>
      <w:bookmarkStart w:id="2" w:name="_Hlk35597312"/>
      <w:r>
        <w:rPr>
          <w:rFonts w:asciiTheme="majorHAnsi" w:hAnsiTheme="majorHAnsi" w:cstheme="majorBidi"/>
          <w:color w:val="auto"/>
          <w:sz w:val="22"/>
          <w:szCs w:val="22"/>
        </w:rPr>
        <w:t xml:space="preserve">has </w:t>
      </w:r>
      <w:r w:rsidRPr="4AA7E622">
        <w:rPr>
          <w:rFonts w:asciiTheme="majorHAnsi" w:hAnsiTheme="majorHAnsi" w:cstheme="majorBidi"/>
          <w:color w:val="auto"/>
          <w:sz w:val="22"/>
          <w:szCs w:val="22"/>
        </w:rPr>
        <w:t>issued a</w:t>
      </w:r>
      <w:r>
        <w:rPr>
          <w:rFonts w:asciiTheme="majorHAnsi" w:hAnsiTheme="majorHAnsi" w:cstheme="majorBidi"/>
          <w:color w:val="auto"/>
          <w:sz w:val="22"/>
          <w:szCs w:val="22"/>
        </w:rPr>
        <w:t xml:space="preserve"> Bulletin instructing insurers to take certain actions </w:t>
      </w:r>
      <w:r w:rsidRPr="4AA7E622">
        <w:rPr>
          <w:rFonts w:asciiTheme="majorHAnsi" w:hAnsiTheme="majorHAnsi" w:cstheme="majorBidi"/>
          <w:color w:val="auto"/>
          <w:sz w:val="22"/>
          <w:szCs w:val="22"/>
        </w:rPr>
        <w:t xml:space="preserve">for all </w:t>
      </w:r>
      <w:r>
        <w:rPr>
          <w:rFonts w:asciiTheme="majorHAnsi" w:hAnsiTheme="majorHAnsi" w:cstheme="majorBidi"/>
          <w:color w:val="auto"/>
          <w:sz w:val="22"/>
          <w:szCs w:val="22"/>
        </w:rPr>
        <w:t xml:space="preserve">Indiana </w:t>
      </w:r>
      <w:r w:rsidRPr="4AA7E622">
        <w:rPr>
          <w:rFonts w:asciiTheme="majorHAnsi" w:hAnsiTheme="majorHAnsi" w:cstheme="majorBidi"/>
          <w:color w:val="auto"/>
          <w:sz w:val="22"/>
          <w:szCs w:val="22"/>
        </w:rPr>
        <w:t xml:space="preserve">customers </w:t>
      </w:r>
      <w:bookmarkEnd w:id="2"/>
      <w:r>
        <w:rPr>
          <w:rFonts w:asciiTheme="majorHAnsi" w:hAnsiTheme="majorHAnsi" w:cstheme="majorBidi"/>
          <w:color w:val="auto"/>
          <w:sz w:val="22"/>
          <w:szCs w:val="22"/>
        </w:rPr>
        <w:t>related to the state of emergency and other Executive Orders</w:t>
      </w:r>
      <w:r w:rsidRPr="4AA7E622">
        <w:rPr>
          <w:rFonts w:asciiTheme="majorHAnsi" w:hAnsiTheme="majorHAnsi" w:cstheme="majorBidi"/>
          <w:color w:val="auto"/>
          <w:sz w:val="22"/>
          <w:szCs w:val="22"/>
        </w:rPr>
        <w:t xml:space="preserve">. The </w:t>
      </w:r>
      <w:r>
        <w:rPr>
          <w:rFonts w:asciiTheme="majorHAnsi" w:hAnsiTheme="majorHAnsi" w:cstheme="majorBidi"/>
          <w:color w:val="auto"/>
          <w:sz w:val="22"/>
          <w:szCs w:val="22"/>
        </w:rPr>
        <w:t xml:space="preserve">Bulletin is in </w:t>
      </w:r>
      <w:r w:rsidRPr="4AA7E622">
        <w:rPr>
          <w:rFonts w:asciiTheme="majorHAnsi" w:hAnsiTheme="majorHAnsi" w:cstheme="majorBidi"/>
          <w:color w:val="auto"/>
          <w:sz w:val="22"/>
          <w:szCs w:val="22"/>
        </w:rPr>
        <w:t xml:space="preserve">effect </w:t>
      </w:r>
      <w:r w:rsidRPr="4AA7E622">
        <w:rPr>
          <w:rFonts w:asciiTheme="majorHAnsi" w:hAnsiTheme="majorHAnsi" w:cstheme="majorBidi"/>
          <w:b/>
          <w:bCs/>
          <w:i/>
          <w:iCs/>
          <w:color w:val="auto"/>
          <w:sz w:val="22"/>
          <w:szCs w:val="22"/>
        </w:rPr>
        <w:t>March 19, 2020</w:t>
      </w:r>
      <w:r w:rsidRPr="4AA7E622">
        <w:rPr>
          <w:rFonts w:asciiTheme="majorHAnsi" w:hAnsiTheme="majorHAnsi" w:cstheme="majorBidi"/>
          <w:color w:val="auto"/>
          <w:sz w:val="22"/>
          <w:szCs w:val="22"/>
        </w:rPr>
        <w:t xml:space="preserve"> through </w:t>
      </w:r>
      <w:r w:rsidRPr="4AA7E622">
        <w:rPr>
          <w:rFonts w:asciiTheme="majorHAnsi" w:hAnsiTheme="majorHAnsi" w:cstheme="majorBidi"/>
          <w:b/>
          <w:bCs/>
          <w:i/>
          <w:iCs/>
          <w:color w:val="auto"/>
          <w:sz w:val="22"/>
          <w:szCs w:val="22"/>
        </w:rPr>
        <w:t>May 18, 2020</w:t>
      </w:r>
      <w:r w:rsidRPr="4AA7E622">
        <w:rPr>
          <w:rFonts w:asciiTheme="majorHAnsi" w:hAnsiTheme="majorHAnsi" w:cstheme="majorBidi"/>
          <w:color w:val="auto"/>
          <w:sz w:val="22"/>
          <w:szCs w:val="22"/>
        </w:rPr>
        <w:t>.</w:t>
      </w:r>
      <w:r w:rsidRPr="4AA7E622">
        <w:rPr>
          <w:rFonts w:asciiTheme="majorHAnsi" w:hAnsiTheme="majorHAnsi" w:cstheme="majorBidi"/>
          <w:sz w:val="22"/>
          <w:szCs w:val="22"/>
        </w:rPr>
        <w:t xml:space="preserve"> </w:t>
      </w:r>
      <w:r w:rsidRPr="4AA7E622">
        <w:rPr>
          <w:rFonts w:asciiTheme="majorHAnsi" w:hAnsiTheme="majorHAnsi" w:cstheme="majorBidi"/>
          <w:color w:val="auto"/>
          <w:sz w:val="22"/>
          <w:szCs w:val="22"/>
        </w:rPr>
        <w:t xml:space="preserve">Based on this </w:t>
      </w:r>
      <w:r>
        <w:rPr>
          <w:rFonts w:asciiTheme="majorHAnsi" w:hAnsiTheme="majorHAnsi" w:cstheme="majorBidi"/>
          <w:color w:val="auto"/>
          <w:sz w:val="22"/>
          <w:szCs w:val="22"/>
        </w:rPr>
        <w:t>Bulletin</w:t>
      </w:r>
      <w:r w:rsidRPr="4AA7E622">
        <w:rPr>
          <w:rFonts w:asciiTheme="majorHAnsi" w:hAnsiTheme="majorHAnsi" w:cstheme="majorBidi"/>
          <w:color w:val="auto"/>
          <w:sz w:val="22"/>
          <w:szCs w:val="22"/>
        </w:rPr>
        <w:t>, the following action is being taken:</w:t>
      </w:r>
    </w:p>
    <w:p w14:paraId="602C25EB" w14:textId="77777777" w:rsidR="00051FC6" w:rsidRDefault="00051FC6" w:rsidP="00051FC6">
      <w:pPr>
        <w:pStyle w:val="Default"/>
        <w:rPr>
          <w:rFonts w:ascii="Calibri" w:hAnsi="Calibri" w:cs="Calibri"/>
          <w:color w:val="auto"/>
          <w:sz w:val="22"/>
          <w:szCs w:val="22"/>
        </w:rPr>
      </w:pPr>
    </w:p>
    <w:p w14:paraId="18B78A9B" w14:textId="77777777" w:rsidR="00051FC6" w:rsidRDefault="00051FC6" w:rsidP="00051FC6">
      <w:pPr>
        <w:rPr>
          <w:rFonts w:ascii="Calibri Light" w:hAnsi="Calibri Light" w:cs="Calibri Light"/>
          <w:b/>
          <w:bCs/>
          <w:color w:val="4472C4"/>
        </w:rPr>
      </w:pPr>
      <w:r>
        <w:rPr>
          <w:rFonts w:ascii="Calibri Light" w:hAnsi="Calibri Light" w:cs="Calibri Light"/>
          <w:b/>
          <w:bCs/>
          <w:color w:val="4472C4"/>
        </w:rPr>
        <w:t>CATASTROPHE BILLING AT A GLANCE</w:t>
      </w:r>
    </w:p>
    <w:tbl>
      <w:tblPr>
        <w:tblW w:w="0" w:type="auto"/>
        <w:tblCellMar>
          <w:left w:w="0" w:type="dxa"/>
          <w:right w:w="0" w:type="dxa"/>
        </w:tblCellMar>
        <w:tblLook w:val="04A0" w:firstRow="1" w:lastRow="0" w:firstColumn="1" w:lastColumn="0" w:noHBand="0" w:noVBand="1"/>
      </w:tblPr>
      <w:tblGrid>
        <w:gridCol w:w="2150"/>
        <w:gridCol w:w="7190"/>
      </w:tblGrid>
      <w:tr w:rsidR="00051FC6" w14:paraId="7B620D5D" w14:textId="77777777" w:rsidTr="00435E86">
        <w:trPr>
          <w:trHeight w:val="314"/>
        </w:trPr>
        <w:tc>
          <w:tcPr>
            <w:tcW w:w="2150" w:type="dxa"/>
            <w:tcBorders>
              <w:top w:val="single" w:sz="8" w:space="0" w:color="auto"/>
              <w:left w:val="single" w:sz="8" w:space="0" w:color="auto"/>
              <w:bottom w:val="single" w:sz="8" w:space="0" w:color="auto"/>
              <w:right w:val="single" w:sz="8" w:space="0" w:color="auto"/>
            </w:tcBorders>
            <w:shd w:val="clear" w:color="auto" w:fill="4472C4" w:themeFill="accent5"/>
            <w:tcMar>
              <w:top w:w="0" w:type="dxa"/>
              <w:left w:w="108" w:type="dxa"/>
              <w:bottom w:w="0" w:type="dxa"/>
              <w:right w:w="108" w:type="dxa"/>
            </w:tcMar>
            <w:hideMark/>
          </w:tcPr>
          <w:p w14:paraId="544D14CE" w14:textId="77777777" w:rsidR="00051FC6" w:rsidRDefault="00051FC6" w:rsidP="00435E86">
            <w:pPr>
              <w:rPr>
                <w:rFonts w:ascii="Calibri Light" w:hAnsi="Calibri Light" w:cs="Calibri Light"/>
                <w:b/>
                <w:bCs/>
                <w:color w:val="FFFFFF"/>
              </w:rPr>
            </w:pPr>
            <w:r>
              <w:rPr>
                <w:rFonts w:ascii="Calibri Light" w:hAnsi="Calibri Light" w:cs="Calibri Light"/>
                <w:b/>
                <w:bCs/>
                <w:color w:val="FFFFFF"/>
              </w:rPr>
              <w:t>Lines</w:t>
            </w:r>
          </w:p>
        </w:tc>
        <w:tc>
          <w:tcPr>
            <w:tcW w:w="7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23FB07" w14:textId="77777777" w:rsidR="00051FC6" w:rsidRPr="00D955D3" w:rsidRDefault="00051FC6" w:rsidP="00435E86">
            <w:pPr>
              <w:rPr>
                <w:rFonts w:asciiTheme="majorHAnsi" w:hAnsiTheme="majorHAnsi" w:cstheme="majorHAnsi"/>
              </w:rPr>
            </w:pPr>
            <w:r w:rsidRPr="00D955D3">
              <w:rPr>
                <w:rFonts w:asciiTheme="majorHAnsi" w:hAnsiTheme="majorHAnsi" w:cstheme="majorHAnsi"/>
              </w:rPr>
              <w:t xml:space="preserve">All auto, property and </w:t>
            </w:r>
            <w:r>
              <w:rPr>
                <w:rFonts w:asciiTheme="majorHAnsi" w:hAnsiTheme="majorHAnsi" w:cstheme="majorHAnsi"/>
              </w:rPr>
              <w:t>consumer household</w:t>
            </w:r>
            <w:r w:rsidRPr="00D955D3">
              <w:rPr>
                <w:rFonts w:asciiTheme="majorHAnsi" w:hAnsiTheme="majorHAnsi" w:cstheme="majorHAnsi"/>
              </w:rPr>
              <w:t xml:space="preserve"> lines</w:t>
            </w:r>
          </w:p>
        </w:tc>
      </w:tr>
      <w:tr w:rsidR="00051FC6" w14:paraId="36AF90C4" w14:textId="77777777" w:rsidTr="00435E86">
        <w:trPr>
          <w:trHeight w:val="341"/>
        </w:trPr>
        <w:tc>
          <w:tcPr>
            <w:tcW w:w="2150" w:type="dxa"/>
            <w:tcBorders>
              <w:top w:val="nil"/>
              <w:left w:val="single" w:sz="8" w:space="0" w:color="auto"/>
              <w:bottom w:val="single" w:sz="8" w:space="0" w:color="auto"/>
              <w:right w:val="single" w:sz="8" w:space="0" w:color="auto"/>
            </w:tcBorders>
            <w:shd w:val="clear" w:color="auto" w:fill="4472C4" w:themeFill="accent5"/>
            <w:tcMar>
              <w:top w:w="0" w:type="dxa"/>
              <w:left w:w="108" w:type="dxa"/>
              <w:bottom w:w="0" w:type="dxa"/>
              <w:right w:w="108" w:type="dxa"/>
            </w:tcMar>
            <w:hideMark/>
          </w:tcPr>
          <w:p w14:paraId="7BA7901C" w14:textId="77777777" w:rsidR="00051FC6" w:rsidRDefault="00051FC6" w:rsidP="00435E86">
            <w:pPr>
              <w:rPr>
                <w:rFonts w:ascii="Calibri Light" w:hAnsi="Calibri Light" w:cs="Calibri Light"/>
                <w:b/>
                <w:bCs/>
                <w:color w:val="FFFFFF"/>
              </w:rPr>
            </w:pPr>
            <w:r>
              <w:rPr>
                <w:rFonts w:ascii="Calibri Light" w:hAnsi="Calibri Light" w:cs="Calibri Light"/>
                <w:b/>
                <w:bCs/>
                <w:color w:val="FFFFFF"/>
              </w:rPr>
              <w:t>Effective Dates</w:t>
            </w:r>
          </w:p>
        </w:tc>
        <w:tc>
          <w:tcPr>
            <w:tcW w:w="7190" w:type="dxa"/>
            <w:tcBorders>
              <w:top w:val="nil"/>
              <w:left w:val="nil"/>
              <w:bottom w:val="single" w:sz="8" w:space="0" w:color="auto"/>
              <w:right w:val="single" w:sz="8" w:space="0" w:color="auto"/>
            </w:tcBorders>
            <w:tcMar>
              <w:top w:w="0" w:type="dxa"/>
              <w:left w:w="108" w:type="dxa"/>
              <w:bottom w:w="0" w:type="dxa"/>
              <w:right w:w="108" w:type="dxa"/>
            </w:tcMar>
            <w:hideMark/>
          </w:tcPr>
          <w:p w14:paraId="66506E97" w14:textId="77777777" w:rsidR="00051FC6" w:rsidRDefault="00051FC6" w:rsidP="00435E86">
            <w:pPr>
              <w:rPr>
                <w:rFonts w:ascii="Calibri Light" w:hAnsi="Calibri Light" w:cs="Calibri Light"/>
              </w:rPr>
            </w:pPr>
            <w:r w:rsidRPr="4AA7E622">
              <w:rPr>
                <w:rFonts w:ascii="Calibri Light" w:hAnsi="Calibri Light" w:cs="Calibri Light"/>
              </w:rPr>
              <w:t>March 19, 2020 (Begin); May 18, 2020</w:t>
            </w:r>
            <w:r w:rsidRPr="4AA7E622">
              <w:rPr>
                <w:rFonts w:ascii="Calibri Light" w:hAnsi="Calibri Light" w:cs="Calibri Light"/>
                <w:color w:val="FF0000"/>
              </w:rPr>
              <w:t xml:space="preserve"> </w:t>
            </w:r>
            <w:r w:rsidRPr="4AA7E622">
              <w:rPr>
                <w:rFonts w:ascii="Calibri Light" w:hAnsi="Calibri Light" w:cs="Calibri Light"/>
              </w:rPr>
              <w:t xml:space="preserve">(End) </w:t>
            </w:r>
            <w:r w:rsidRPr="4AA7E622">
              <w:rPr>
                <w:rFonts w:ascii="Calibri Light" w:hAnsi="Calibri Light" w:cs="Calibri Light"/>
                <w:b/>
                <w:bCs/>
                <w:i/>
                <w:iCs/>
              </w:rPr>
              <w:t>60 Days</w:t>
            </w:r>
          </w:p>
        </w:tc>
      </w:tr>
      <w:tr w:rsidR="00051FC6" w14:paraId="53507518" w14:textId="77777777" w:rsidTr="00435E86">
        <w:trPr>
          <w:trHeight w:val="1672"/>
        </w:trPr>
        <w:tc>
          <w:tcPr>
            <w:tcW w:w="2150" w:type="dxa"/>
            <w:tcBorders>
              <w:top w:val="single" w:sz="8" w:space="0" w:color="auto"/>
              <w:left w:val="single" w:sz="8" w:space="0" w:color="auto"/>
              <w:bottom w:val="single" w:sz="8" w:space="0" w:color="auto"/>
              <w:right w:val="single" w:sz="8" w:space="0" w:color="auto"/>
            </w:tcBorders>
            <w:shd w:val="clear" w:color="auto" w:fill="4472C4" w:themeFill="accent5"/>
            <w:tcMar>
              <w:top w:w="0" w:type="dxa"/>
              <w:left w:w="108" w:type="dxa"/>
              <w:bottom w:w="0" w:type="dxa"/>
              <w:right w:w="108" w:type="dxa"/>
            </w:tcMar>
            <w:hideMark/>
          </w:tcPr>
          <w:p w14:paraId="085176FD" w14:textId="77777777" w:rsidR="00051FC6" w:rsidRPr="008B6D67" w:rsidRDefault="00051FC6" w:rsidP="00435E86">
            <w:pPr>
              <w:rPr>
                <w:rFonts w:ascii="Calibri Light" w:hAnsi="Calibri Light" w:cs="Calibri Light"/>
                <w:b/>
                <w:bCs/>
                <w:color w:val="FFFFFF" w:themeColor="background1"/>
              </w:rPr>
            </w:pPr>
            <w:r>
              <w:rPr>
                <w:rFonts w:ascii="Calibri Light" w:hAnsi="Calibri Light" w:cs="Calibri Light"/>
                <w:b/>
                <w:bCs/>
                <w:color w:val="FFFFFF" w:themeColor="background1"/>
              </w:rPr>
              <w:t>How Does it Work</w:t>
            </w:r>
          </w:p>
        </w:tc>
        <w:tc>
          <w:tcPr>
            <w:tcW w:w="7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E7BD6" w14:textId="77777777" w:rsidR="00051FC6" w:rsidRPr="009B2FA1" w:rsidRDefault="00051FC6" w:rsidP="00435E86">
            <w:pPr>
              <w:numPr>
                <w:ilvl w:val="0"/>
                <w:numId w:val="34"/>
              </w:numPr>
              <w:rPr>
                <w:rFonts w:asciiTheme="majorHAnsi" w:eastAsia="Times New Roman" w:hAnsiTheme="majorHAnsi" w:cstheme="majorHAnsi"/>
              </w:rPr>
            </w:pPr>
            <w:r w:rsidRPr="009B2FA1">
              <w:rPr>
                <w:rFonts w:asciiTheme="majorHAnsi" w:eastAsia="Times New Roman" w:hAnsiTheme="majorHAnsi" w:cstheme="majorHAnsi"/>
              </w:rPr>
              <w:t xml:space="preserve">Customers </w:t>
            </w:r>
            <w:r w:rsidRPr="009B2FA1">
              <w:rPr>
                <w:rFonts w:asciiTheme="majorHAnsi" w:eastAsia="Times New Roman" w:hAnsiTheme="majorHAnsi" w:cstheme="majorHAnsi"/>
                <w:b/>
              </w:rPr>
              <w:t>continue to receive a bill,</w:t>
            </w:r>
            <w:r w:rsidRPr="009B2FA1">
              <w:rPr>
                <w:rFonts w:asciiTheme="majorHAnsi" w:eastAsia="Times New Roman" w:hAnsiTheme="majorHAnsi" w:cstheme="majorHAnsi"/>
              </w:rPr>
              <w:t xml:space="preserve"> s</w:t>
            </w:r>
            <w:r>
              <w:rPr>
                <w:rFonts w:asciiTheme="majorHAnsi" w:eastAsia="Times New Roman" w:hAnsiTheme="majorHAnsi" w:cstheme="majorHAnsi"/>
              </w:rPr>
              <w:t>tating</w:t>
            </w:r>
            <w:r w:rsidRPr="009B2FA1">
              <w:rPr>
                <w:rFonts w:asciiTheme="majorHAnsi" w:eastAsia="Times New Roman" w:hAnsiTheme="majorHAnsi" w:cstheme="majorHAnsi"/>
              </w:rPr>
              <w:t xml:space="preserve"> the scheduled </w:t>
            </w:r>
            <w:r>
              <w:rPr>
                <w:rFonts w:asciiTheme="majorHAnsi" w:eastAsia="Times New Roman" w:hAnsiTheme="majorHAnsi" w:cstheme="majorHAnsi"/>
              </w:rPr>
              <w:t>m</w:t>
            </w:r>
            <w:r w:rsidRPr="009B2FA1">
              <w:rPr>
                <w:rFonts w:asciiTheme="majorHAnsi" w:eastAsia="Times New Roman" w:hAnsiTheme="majorHAnsi" w:cstheme="majorHAnsi"/>
              </w:rPr>
              <w:t xml:space="preserve">inimum </w:t>
            </w:r>
            <w:r>
              <w:rPr>
                <w:rFonts w:asciiTheme="majorHAnsi" w:eastAsia="Times New Roman" w:hAnsiTheme="majorHAnsi" w:cstheme="majorHAnsi"/>
              </w:rPr>
              <w:t>a</w:t>
            </w:r>
            <w:r w:rsidRPr="009B2FA1">
              <w:rPr>
                <w:rFonts w:asciiTheme="majorHAnsi" w:eastAsia="Times New Roman" w:hAnsiTheme="majorHAnsi" w:cstheme="majorHAnsi"/>
              </w:rPr>
              <w:t xml:space="preserve">mount </w:t>
            </w:r>
            <w:r>
              <w:rPr>
                <w:rFonts w:asciiTheme="majorHAnsi" w:eastAsia="Times New Roman" w:hAnsiTheme="majorHAnsi" w:cstheme="majorHAnsi"/>
              </w:rPr>
              <w:t>d</w:t>
            </w:r>
            <w:r w:rsidRPr="009B2FA1">
              <w:rPr>
                <w:rFonts w:asciiTheme="majorHAnsi" w:eastAsia="Times New Roman" w:hAnsiTheme="majorHAnsi" w:cstheme="majorHAnsi"/>
              </w:rPr>
              <w:t>ue</w:t>
            </w:r>
          </w:p>
          <w:p w14:paraId="35F195DD" w14:textId="77777777" w:rsidR="00051FC6" w:rsidRPr="009B2FA1" w:rsidRDefault="00051FC6" w:rsidP="00435E86">
            <w:pPr>
              <w:numPr>
                <w:ilvl w:val="0"/>
                <w:numId w:val="34"/>
              </w:numPr>
              <w:rPr>
                <w:rFonts w:asciiTheme="majorHAnsi" w:eastAsia="Times New Roman" w:hAnsiTheme="majorHAnsi" w:cstheme="majorHAnsi"/>
              </w:rPr>
            </w:pPr>
            <w:r w:rsidRPr="009B2FA1">
              <w:rPr>
                <w:rFonts w:asciiTheme="majorHAnsi" w:eastAsia="Times New Roman" w:hAnsiTheme="majorHAnsi" w:cstheme="majorHAnsi"/>
              </w:rPr>
              <w:t xml:space="preserve">Any payment the customer </w:t>
            </w:r>
            <w:r>
              <w:rPr>
                <w:rFonts w:asciiTheme="majorHAnsi" w:eastAsia="Times New Roman" w:hAnsiTheme="majorHAnsi" w:cstheme="majorHAnsi"/>
              </w:rPr>
              <w:t>makes</w:t>
            </w:r>
            <w:r w:rsidRPr="009B2FA1">
              <w:rPr>
                <w:rFonts w:asciiTheme="majorHAnsi" w:eastAsia="Times New Roman" w:hAnsiTheme="majorHAnsi" w:cstheme="majorHAnsi"/>
              </w:rPr>
              <w:t xml:space="preserve"> while under the Catastrophe Payment Plan </w:t>
            </w:r>
            <w:r w:rsidRPr="009B2FA1">
              <w:rPr>
                <w:rFonts w:asciiTheme="majorHAnsi" w:eastAsia="Times New Roman" w:hAnsiTheme="majorHAnsi" w:cstheme="majorHAnsi"/>
                <w:b/>
              </w:rPr>
              <w:t>will</w:t>
            </w:r>
            <w:r w:rsidRPr="009B2FA1">
              <w:rPr>
                <w:rFonts w:asciiTheme="majorHAnsi" w:eastAsia="Times New Roman" w:hAnsiTheme="majorHAnsi" w:cstheme="majorHAnsi"/>
              </w:rPr>
              <w:t xml:space="preserve"> be credited towards the outstanding premium </w:t>
            </w:r>
          </w:p>
          <w:p w14:paraId="100EFFF4" w14:textId="77777777" w:rsidR="00051FC6" w:rsidRPr="009B2FA1" w:rsidRDefault="00051FC6" w:rsidP="00435E86">
            <w:pPr>
              <w:numPr>
                <w:ilvl w:val="0"/>
                <w:numId w:val="34"/>
              </w:numPr>
              <w:rPr>
                <w:rFonts w:asciiTheme="majorHAnsi" w:eastAsia="Times New Roman" w:hAnsiTheme="majorHAnsi" w:cstheme="majorHAnsi"/>
              </w:rPr>
            </w:pPr>
            <w:r w:rsidRPr="009B2FA1">
              <w:rPr>
                <w:rFonts w:asciiTheme="majorHAnsi" w:eastAsia="Times New Roman" w:hAnsiTheme="majorHAnsi" w:cstheme="majorHAnsi"/>
              </w:rPr>
              <w:t>Installment fees will be waived during this period</w:t>
            </w:r>
          </w:p>
          <w:p w14:paraId="2A7DDDC1" w14:textId="77777777" w:rsidR="00051FC6" w:rsidRPr="009B2FA1" w:rsidRDefault="00051FC6" w:rsidP="00435E86">
            <w:pPr>
              <w:numPr>
                <w:ilvl w:val="0"/>
                <w:numId w:val="34"/>
              </w:numPr>
              <w:rPr>
                <w:rFonts w:asciiTheme="majorHAnsi" w:eastAsia="Times New Roman" w:hAnsiTheme="majorHAnsi" w:cstheme="majorHAnsi"/>
              </w:rPr>
            </w:pPr>
            <w:r w:rsidRPr="009B2FA1">
              <w:rPr>
                <w:rFonts w:asciiTheme="majorHAnsi" w:eastAsia="Times New Roman" w:hAnsiTheme="majorHAnsi" w:cstheme="majorHAnsi"/>
              </w:rPr>
              <w:t xml:space="preserve">Allstate Easy Pay Plan, Mortgagee Pay, Recurring Credit Card and Payroll Deduction customers are </w:t>
            </w:r>
            <w:r w:rsidRPr="009B2FA1">
              <w:rPr>
                <w:rFonts w:asciiTheme="majorHAnsi" w:eastAsia="Times New Roman" w:hAnsiTheme="majorHAnsi" w:cstheme="majorHAnsi"/>
                <w:b/>
              </w:rPr>
              <w:t>excluded</w:t>
            </w:r>
            <w:r>
              <w:rPr>
                <w:rFonts w:asciiTheme="majorHAnsi" w:eastAsia="Times New Roman" w:hAnsiTheme="majorHAnsi" w:cstheme="majorHAnsi"/>
                <w:b/>
              </w:rPr>
              <w:t xml:space="preserve"> - </w:t>
            </w:r>
            <w:r w:rsidRPr="009B2FA1">
              <w:rPr>
                <w:rFonts w:asciiTheme="majorHAnsi" w:eastAsia="Times New Roman" w:hAnsiTheme="majorHAnsi" w:cstheme="majorHAnsi"/>
              </w:rPr>
              <w:t>In the event a customer is removed from these payment plans, they will automatically be placed on the Catastrophe Payment Plan</w:t>
            </w:r>
          </w:p>
          <w:p w14:paraId="39B0EBBD" w14:textId="77777777" w:rsidR="00051FC6" w:rsidRPr="009B2FA1" w:rsidRDefault="00051FC6" w:rsidP="00435E86">
            <w:pPr>
              <w:numPr>
                <w:ilvl w:val="0"/>
                <w:numId w:val="34"/>
              </w:numPr>
              <w:rPr>
                <w:rFonts w:eastAsia="Times New Roman"/>
              </w:rPr>
            </w:pPr>
            <w:r w:rsidRPr="009B2FA1">
              <w:rPr>
                <w:rFonts w:asciiTheme="majorHAnsi" w:eastAsia="Times New Roman" w:hAnsiTheme="majorHAnsi" w:cstheme="majorHAnsi"/>
              </w:rPr>
              <w:t xml:space="preserve">If the customer does not pay the current bill; the next bill will </w:t>
            </w:r>
            <w:r w:rsidRPr="00033F11">
              <w:rPr>
                <w:rFonts w:asciiTheme="majorHAnsi" w:eastAsia="Times New Roman" w:hAnsiTheme="majorHAnsi" w:cstheme="majorHAnsi"/>
                <w:b/>
              </w:rPr>
              <w:t>NOT</w:t>
            </w:r>
            <w:r w:rsidRPr="009B2FA1">
              <w:rPr>
                <w:rFonts w:asciiTheme="majorHAnsi" w:eastAsia="Times New Roman" w:hAnsiTheme="majorHAnsi" w:cstheme="majorHAnsi"/>
              </w:rPr>
              <w:t xml:space="preserve"> be a cancellation bill. It will be a regular recalculated bill (balance will be evenly spread over remaining billing opportunities)</w:t>
            </w:r>
          </w:p>
        </w:tc>
      </w:tr>
      <w:tr w:rsidR="00051FC6" w14:paraId="3474E2F0" w14:textId="77777777" w:rsidTr="00435E86">
        <w:trPr>
          <w:trHeight w:val="1663"/>
        </w:trPr>
        <w:tc>
          <w:tcPr>
            <w:tcW w:w="2150" w:type="dxa"/>
            <w:tcBorders>
              <w:top w:val="single" w:sz="8" w:space="0" w:color="auto"/>
              <w:left w:val="single" w:sz="8" w:space="0" w:color="auto"/>
              <w:bottom w:val="single" w:sz="8" w:space="0" w:color="auto"/>
              <w:right w:val="single" w:sz="8" w:space="0" w:color="auto"/>
            </w:tcBorders>
            <w:shd w:val="clear" w:color="auto" w:fill="4472C4" w:themeFill="accent5"/>
            <w:tcMar>
              <w:top w:w="0" w:type="dxa"/>
              <w:left w:w="108" w:type="dxa"/>
              <w:bottom w:w="0" w:type="dxa"/>
              <w:right w:w="108" w:type="dxa"/>
            </w:tcMar>
          </w:tcPr>
          <w:p w14:paraId="50A905D7" w14:textId="77777777" w:rsidR="00051FC6" w:rsidRDefault="00051FC6" w:rsidP="00435E86">
            <w:pPr>
              <w:rPr>
                <w:rFonts w:ascii="Calibri Light" w:hAnsi="Calibri Light" w:cs="Calibri Light"/>
                <w:b/>
                <w:bCs/>
                <w:color w:val="FFFFFF"/>
              </w:rPr>
            </w:pPr>
            <w:r>
              <w:rPr>
                <w:rFonts w:ascii="Calibri Light" w:hAnsi="Calibri Light" w:cs="Calibri Light"/>
                <w:b/>
                <w:bCs/>
                <w:color w:val="FFFFFF"/>
              </w:rPr>
              <w:t>Removal of CAT Billing</w:t>
            </w:r>
          </w:p>
          <w:p w14:paraId="7F51E710" w14:textId="77777777" w:rsidR="00051FC6" w:rsidRDefault="00051FC6" w:rsidP="00435E86">
            <w:pPr>
              <w:rPr>
                <w:rFonts w:ascii="Calibri Light" w:hAnsi="Calibri Light" w:cs="Calibri Light"/>
                <w:b/>
                <w:bCs/>
                <w:color w:val="FFFFFF"/>
              </w:rPr>
            </w:pPr>
          </w:p>
        </w:tc>
        <w:tc>
          <w:tcPr>
            <w:tcW w:w="71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1A487A" w14:textId="77777777" w:rsidR="00051FC6" w:rsidRDefault="00051FC6" w:rsidP="00435E86">
            <w:pPr>
              <w:numPr>
                <w:ilvl w:val="0"/>
                <w:numId w:val="30"/>
              </w:numPr>
              <w:ind w:left="351" w:hanging="270"/>
              <w:rPr>
                <w:rFonts w:ascii="Calibri Light" w:eastAsia="Times New Roman" w:hAnsi="Calibri Light" w:cs="Calibri Light"/>
              </w:rPr>
            </w:pPr>
            <w:r>
              <w:rPr>
                <w:rFonts w:ascii="Calibri Light" w:eastAsia="Times New Roman" w:hAnsi="Calibri Light" w:cs="Calibri Light"/>
              </w:rPr>
              <w:t>Removal of CAT billing is automatic, and based on the expiration date provided by the Emergency Order</w:t>
            </w:r>
          </w:p>
          <w:p w14:paraId="7F5B26F1" w14:textId="77777777" w:rsidR="00051FC6" w:rsidRDefault="00051FC6" w:rsidP="00435E86">
            <w:pPr>
              <w:numPr>
                <w:ilvl w:val="0"/>
                <w:numId w:val="30"/>
              </w:numPr>
              <w:ind w:left="351" w:hanging="270"/>
              <w:rPr>
                <w:rFonts w:ascii="Calibri Light" w:eastAsia="Times New Roman" w:hAnsi="Calibri Light" w:cs="Calibri Light"/>
              </w:rPr>
            </w:pPr>
            <w:r>
              <w:rPr>
                <w:rFonts w:ascii="Calibri Light" w:eastAsia="Times New Roman" w:hAnsi="Calibri Light" w:cs="Calibri Light"/>
              </w:rPr>
              <w:t>The next bill is a recalculated bill</w:t>
            </w:r>
          </w:p>
          <w:p w14:paraId="66F1D559" w14:textId="77777777" w:rsidR="00051FC6" w:rsidRDefault="00051FC6" w:rsidP="00435E86">
            <w:pPr>
              <w:numPr>
                <w:ilvl w:val="0"/>
                <w:numId w:val="30"/>
              </w:numPr>
              <w:ind w:left="351" w:hanging="270"/>
              <w:rPr>
                <w:rFonts w:ascii="Calibri Light" w:eastAsia="Times New Roman" w:hAnsi="Calibri Light" w:cs="Calibri Light"/>
              </w:rPr>
            </w:pPr>
            <w:r>
              <w:rPr>
                <w:rFonts w:ascii="Calibri Light" w:eastAsia="Times New Roman" w:hAnsi="Calibri Light" w:cs="Calibri Light"/>
              </w:rPr>
              <w:t>If this bill is unpaid, the next scheduled billing activity would be a cancellation notice</w:t>
            </w:r>
          </w:p>
          <w:p w14:paraId="6692A374" w14:textId="77777777" w:rsidR="00051FC6" w:rsidRPr="008B6D67" w:rsidRDefault="00051FC6" w:rsidP="00435E86">
            <w:pPr>
              <w:numPr>
                <w:ilvl w:val="0"/>
                <w:numId w:val="30"/>
              </w:numPr>
              <w:ind w:left="351" w:hanging="270"/>
              <w:rPr>
                <w:rFonts w:ascii="Calibri Light" w:eastAsia="Times New Roman" w:hAnsi="Calibri Light" w:cs="Calibri Light"/>
              </w:rPr>
            </w:pPr>
            <w:r w:rsidRPr="4AA7E622">
              <w:rPr>
                <w:rFonts w:ascii="Calibri Light" w:eastAsia="Times New Roman" w:hAnsi="Calibri Light" w:cs="Calibri Light"/>
              </w:rPr>
              <w:t xml:space="preserve">Billing history narratives will display – “Removed Special Catastrophe Billing </w:t>
            </w:r>
            <w:r w:rsidRPr="4AA7E622">
              <w:rPr>
                <w:rFonts w:ascii="Calibri Light" w:eastAsia="Times New Roman" w:hAnsi="Calibri Light" w:cs="Calibri Light"/>
                <w:b/>
                <w:bCs/>
                <w:i/>
                <w:iCs/>
              </w:rPr>
              <w:t>05/18/20</w:t>
            </w:r>
          </w:p>
          <w:p w14:paraId="2295771A" w14:textId="77777777" w:rsidR="00051FC6" w:rsidRDefault="00051FC6" w:rsidP="00435E86">
            <w:pPr>
              <w:numPr>
                <w:ilvl w:val="0"/>
                <w:numId w:val="30"/>
              </w:numPr>
              <w:ind w:left="351" w:hanging="270"/>
              <w:rPr>
                <w:rFonts w:ascii="Calibri Light" w:eastAsia="Times New Roman" w:hAnsi="Calibri Light" w:cs="Calibri Light"/>
              </w:rPr>
            </w:pPr>
            <w:r w:rsidRPr="008B6D67">
              <w:rPr>
                <w:rFonts w:ascii="Calibri Light" w:eastAsia="Times New Roman" w:hAnsi="Calibri Light" w:cs="Calibri Light"/>
              </w:rPr>
              <w:t xml:space="preserve">The following message will appear on the </w:t>
            </w:r>
            <w:r>
              <w:rPr>
                <w:rFonts w:ascii="Calibri Light" w:eastAsia="Times New Roman" w:hAnsi="Calibri Light" w:cs="Calibri Light"/>
              </w:rPr>
              <w:t>regular, recalculated billing</w:t>
            </w:r>
            <w:r w:rsidRPr="008B6D67">
              <w:rPr>
                <w:rFonts w:ascii="Calibri Light" w:eastAsia="Times New Roman" w:hAnsi="Calibri Light" w:cs="Calibri Light"/>
              </w:rPr>
              <w:t xml:space="preserve"> document to the customer for one billing cycle</w:t>
            </w:r>
          </w:p>
          <w:p w14:paraId="5B06F1BE" w14:textId="77777777" w:rsidR="00051FC6" w:rsidRPr="008B6D67" w:rsidRDefault="00051FC6" w:rsidP="00435E86">
            <w:pPr>
              <w:ind w:left="81"/>
              <w:rPr>
                <w:rFonts w:ascii="Calibri Light" w:eastAsia="Times New Roman" w:hAnsi="Calibri Light" w:cs="Calibri Light"/>
              </w:rPr>
            </w:pPr>
            <w:r w:rsidRPr="008B6D67">
              <w:rPr>
                <w:rStyle w:val="Strong"/>
                <w:rFonts w:asciiTheme="majorHAnsi" w:hAnsiTheme="majorHAnsi" w:cstheme="majorHAnsi"/>
                <w:i/>
              </w:rPr>
              <w:t>Important notice:</w:t>
            </w:r>
            <w:r w:rsidRPr="008B6D67">
              <w:rPr>
                <w:rFonts w:asciiTheme="majorHAnsi" w:hAnsiTheme="majorHAnsi" w:cstheme="majorHAnsi"/>
                <w:i/>
              </w:rPr>
              <w:t xml:space="preserve"> We thought you'd like to know that we have placed your policy back on a regular billing schedule. Therefore, please be sure to send us at least the Minimum Amount Due by the Due Date reflected on this bill. Without your payment, we would be required to cancel your policy. If you have any questions about your bill, please contact your agent</w:t>
            </w:r>
            <w:r>
              <w:rPr>
                <w:rFonts w:asciiTheme="majorHAnsi" w:hAnsiTheme="majorHAnsi" w:cstheme="majorHAnsi"/>
                <w:i/>
              </w:rPr>
              <w:t>.</w:t>
            </w:r>
          </w:p>
        </w:tc>
      </w:tr>
    </w:tbl>
    <w:p w14:paraId="0332CDA9" w14:textId="77777777" w:rsidR="00051FC6" w:rsidRDefault="00051FC6" w:rsidP="00051FC6">
      <w:pPr>
        <w:pStyle w:val="Default"/>
        <w:rPr>
          <w:rFonts w:ascii="Calibri" w:hAnsi="Calibri" w:cs="Calibri"/>
          <w:color w:val="auto"/>
          <w:sz w:val="22"/>
          <w:szCs w:val="22"/>
        </w:rPr>
      </w:pPr>
    </w:p>
    <w:p w14:paraId="4F086FE9" w14:textId="77777777" w:rsidR="00051FC6" w:rsidRDefault="00051FC6" w:rsidP="00051FC6">
      <w:r>
        <w:rPr>
          <w:b/>
          <w:bCs/>
        </w:rPr>
        <w:t> </w:t>
      </w:r>
    </w:p>
    <w:p w14:paraId="11BA1B3C" w14:textId="77777777" w:rsidR="00051FC6" w:rsidRDefault="00051FC6" w:rsidP="00051FC6">
      <w:pPr>
        <w:rPr>
          <w:rFonts w:asciiTheme="majorHAnsi" w:hAnsiTheme="majorHAnsi" w:cstheme="majorHAnsi"/>
          <w:b/>
          <w:bCs/>
        </w:rPr>
      </w:pPr>
      <w:r>
        <w:rPr>
          <w:rFonts w:ascii="Calibri Light" w:hAnsi="Calibri Light" w:cs="Calibri Light"/>
          <w:b/>
          <w:bCs/>
          <w:color w:val="4472C4"/>
        </w:rPr>
        <w:t>ADDITIONAL INFORMATION</w:t>
      </w:r>
    </w:p>
    <w:p w14:paraId="49E6DB9E" w14:textId="2BB39242" w:rsidR="00C01168" w:rsidRDefault="00051FC6" w:rsidP="00051FC6">
      <w:pPr>
        <w:rPr>
          <w:rFonts w:ascii="Calibri Light" w:hAnsi="Calibri Light" w:cs="Calibri Light"/>
          <w:b/>
          <w:bCs/>
          <w:color w:val="4472C4"/>
        </w:rPr>
      </w:pPr>
      <w:r w:rsidRPr="009B2FA1">
        <w:rPr>
          <w:rFonts w:asciiTheme="majorHAnsi" w:hAnsiTheme="majorHAnsi" w:cstheme="majorHAnsi"/>
          <w:b/>
          <w:bCs/>
        </w:rPr>
        <w:t xml:space="preserve">Policies that have already terminated </w:t>
      </w:r>
      <w:r w:rsidRPr="009B2FA1">
        <w:rPr>
          <w:rFonts w:asciiTheme="majorHAnsi" w:hAnsiTheme="majorHAnsi" w:cstheme="majorHAnsi"/>
        </w:rPr>
        <w:t xml:space="preserve">for non-payment during the duration of the </w:t>
      </w:r>
      <w:r>
        <w:rPr>
          <w:rFonts w:asciiTheme="majorHAnsi" w:hAnsiTheme="majorHAnsi" w:cstheme="majorHAnsi"/>
        </w:rPr>
        <w:t>Bulletin</w:t>
      </w:r>
      <w:r w:rsidRPr="009B2FA1">
        <w:rPr>
          <w:rFonts w:asciiTheme="majorHAnsi" w:hAnsiTheme="majorHAnsi" w:cstheme="majorHAnsi"/>
        </w:rPr>
        <w:t xml:space="preserve"> will be reinstated automatically. No action is needed from your agency.</w:t>
      </w:r>
    </w:p>
    <w:p w14:paraId="3884090D" w14:textId="77777777" w:rsidR="00C01168" w:rsidRDefault="00C01168" w:rsidP="00C01168">
      <w:pPr>
        <w:rPr>
          <w:rFonts w:ascii="Calibri Light" w:hAnsi="Calibri Light" w:cs="Calibri Light"/>
          <w:b/>
          <w:bCs/>
          <w:color w:val="4472C4"/>
        </w:rPr>
      </w:pPr>
      <w:r>
        <w:rPr>
          <w:rFonts w:ascii="Calibri Light" w:hAnsi="Calibri Light" w:cs="Calibri Light"/>
          <w:b/>
          <w:bCs/>
          <w:color w:val="4472C4"/>
        </w:rPr>
        <w:t xml:space="preserve">CONTACT US  </w:t>
      </w:r>
    </w:p>
    <w:p w14:paraId="3C5C0A98" w14:textId="77777777" w:rsidR="00C01168" w:rsidRDefault="00C01168" w:rsidP="00C01168">
      <w:pPr>
        <w:rPr>
          <w:rStyle w:val="eop"/>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For policy-level questions at the RMBC or ASIC, reference the attached Who to Contact document.</w:t>
      </w:r>
      <w:r>
        <w:rPr>
          <w:rStyle w:val="eop"/>
          <w:rFonts w:ascii="Calibri Light" w:hAnsi="Calibri Light" w:cs="Calibri Light"/>
          <w:color w:val="000000"/>
          <w:shd w:val="clear" w:color="auto" w:fill="FFFFFF"/>
        </w:rPr>
        <w:t> </w:t>
      </w:r>
    </w:p>
    <w:p w14:paraId="320F3F03" w14:textId="77777777" w:rsidR="00C01168" w:rsidRDefault="00C01168" w:rsidP="00C01168">
      <w:pPr>
        <w:rPr>
          <w:rFonts w:ascii="Calibri Light" w:hAnsi="Calibri Light" w:cs="Calibri Light"/>
        </w:rPr>
      </w:pPr>
    </w:p>
    <w:p w14:paraId="0DF12F1C" w14:textId="77777777" w:rsidR="00C01168" w:rsidRDefault="00C01168" w:rsidP="00C01168">
      <w:pPr>
        <w:rPr>
          <w:rFonts w:ascii="Calibri Light" w:hAnsi="Calibri Light" w:cs="Calibri Light"/>
        </w:rPr>
      </w:pPr>
      <w:r>
        <w:rPr>
          <w:rFonts w:ascii="Calibri Light" w:hAnsi="Calibri Light" w:cs="Calibri Light"/>
        </w:rPr>
        <w:t>Regards,</w:t>
      </w:r>
    </w:p>
    <w:p w14:paraId="78A8F08D" w14:textId="77777777" w:rsidR="00C01168" w:rsidRDefault="00C01168" w:rsidP="00C01168">
      <w:pPr>
        <w:rPr>
          <w:rFonts w:ascii="Calibri Light" w:hAnsi="Calibri Light" w:cs="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C01168" w14:paraId="0E37A92C" w14:textId="77777777" w:rsidTr="002835FD">
        <w:tc>
          <w:tcPr>
            <w:tcW w:w="3690" w:type="dxa"/>
          </w:tcPr>
          <w:p w14:paraId="042157F3" w14:textId="77777777" w:rsidR="00C01168" w:rsidRPr="00D54AE9" w:rsidRDefault="00C01168" w:rsidP="002835FD">
            <w:pPr>
              <w:rPr>
                <w:rFonts w:ascii="Segoe Print" w:hAnsi="Segoe Print" w:cs="Calibri Light"/>
                <w:sz w:val="20"/>
                <w:szCs w:val="20"/>
              </w:rPr>
            </w:pPr>
            <w:r>
              <w:rPr>
                <w:rFonts w:ascii="Segoe Print" w:hAnsi="Segoe Print" w:cs="Calibri Light"/>
                <w:sz w:val="20"/>
                <w:szCs w:val="20"/>
              </w:rPr>
              <w:t>Eric Montes</w:t>
            </w:r>
          </w:p>
        </w:tc>
      </w:tr>
      <w:tr w:rsidR="00C01168" w14:paraId="26C41027" w14:textId="77777777" w:rsidTr="002835FD">
        <w:tc>
          <w:tcPr>
            <w:tcW w:w="3690" w:type="dxa"/>
          </w:tcPr>
          <w:p w14:paraId="0861B0B0" w14:textId="77777777" w:rsidR="00C01168" w:rsidRPr="00D54AE9" w:rsidRDefault="00C01168" w:rsidP="002835FD">
            <w:pPr>
              <w:rPr>
                <w:rFonts w:asciiTheme="majorHAnsi" w:hAnsiTheme="majorHAnsi" w:cstheme="majorHAnsi"/>
              </w:rPr>
            </w:pPr>
            <w:r>
              <w:rPr>
                <w:rFonts w:asciiTheme="majorHAnsi" w:hAnsiTheme="majorHAnsi" w:cstheme="majorHAnsi"/>
              </w:rPr>
              <w:t>Allstate Sales Administrative Leader</w:t>
            </w:r>
          </w:p>
        </w:tc>
      </w:tr>
    </w:tbl>
    <w:p w14:paraId="57C5A7B1" w14:textId="77777777" w:rsidR="008F211E" w:rsidRDefault="008F211E" w:rsidP="008F211E">
      <w:pPr>
        <w:rPr>
          <w:sz w:val="14"/>
          <w:szCs w:val="14"/>
        </w:rPr>
      </w:pPr>
      <w:r>
        <w:rPr>
          <w:rFonts w:ascii="Arial" w:hAnsi="Arial" w:cs="Arial"/>
          <w:sz w:val="14"/>
          <w:szCs w:val="14"/>
        </w:rPr>
        <w:lastRenderedPageBreak/>
        <w:t>Confidentiality Notice: This communication, including any attachments, may contain confidential and privileged information for the sole and exclusive use of the intended recipient(s). Any review, use, distribution or disclosure by others is strictly prohibited. If you are not the intended recipient (or authorized to receive information for the recipient), please contact the sender and delete all copies of this message.</w:t>
      </w:r>
    </w:p>
    <w:p w14:paraId="54BF1268" w14:textId="77777777" w:rsidR="00A9204E" w:rsidRDefault="00A9204E"/>
    <w:p w14:paraId="41320935" w14:textId="77777777" w:rsidR="003A05F7" w:rsidRDefault="003A05F7"/>
    <w:bookmarkEnd w:id="0"/>
    <w:bookmarkEnd w:id="1"/>
    <w:p w14:paraId="78D03D3B" w14:textId="77777777" w:rsidR="00493463" w:rsidRDefault="00493463">
      <w:pPr>
        <w:rPr>
          <w:rFonts w:asciiTheme="minorHAnsi" w:hAnsiTheme="minorHAnsi" w:cstheme="minorBidi"/>
        </w:rPr>
      </w:pPr>
    </w:p>
    <w:p w14:paraId="0177FCB7" w14:textId="76278027" w:rsidR="00493463" w:rsidRDefault="00493463">
      <w:pPr>
        <w:rPr>
          <w:rFonts w:asciiTheme="minorHAnsi" w:hAnsiTheme="minorHAnsi" w:cstheme="minorBidi"/>
        </w:rPr>
      </w:pPr>
    </w:p>
    <w:p w14:paraId="439F0F42" w14:textId="39984950" w:rsidR="003035D7" w:rsidRDefault="003035D7"/>
    <w:p w14:paraId="08FCB8E7" w14:textId="29EFB59C" w:rsidR="00113C6F" w:rsidRDefault="00113C6F"/>
    <w:p w14:paraId="624E3874" w14:textId="77777777" w:rsidR="00613032" w:rsidRDefault="00613032"/>
    <w:sectPr w:rsidR="00613032" w:rsidSect="008F211E">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5BCE" w14:textId="77777777" w:rsidR="00FF12D2" w:rsidRDefault="00FF12D2" w:rsidP="00666D4E">
      <w:r>
        <w:separator/>
      </w:r>
    </w:p>
  </w:endnote>
  <w:endnote w:type="continuationSeparator" w:id="0">
    <w:p w14:paraId="5E58259F" w14:textId="77777777" w:rsidR="00FF12D2" w:rsidRDefault="00FF12D2" w:rsidP="0066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A6C2" w14:textId="77777777" w:rsidR="00FF12D2" w:rsidRDefault="00FF12D2" w:rsidP="00666D4E">
      <w:r>
        <w:separator/>
      </w:r>
    </w:p>
  </w:footnote>
  <w:footnote w:type="continuationSeparator" w:id="0">
    <w:p w14:paraId="5B77F88E" w14:textId="77777777" w:rsidR="00FF12D2" w:rsidRDefault="00FF12D2" w:rsidP="0066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645BAC"/>
    <w:multiLevelType w:val="hybridMultilevel"/>
    <w:tmpl w:val="5ED696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7F155C5"/>
    <w:multiLevelType w:val="hybridMultilevel"/>
    <w:tmpl w:val="7706A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9D2F89"/>
    <w:multiLevelType w:val="hybridMultilevel"/>
    <w:tmpl w:val="C6845B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8B81EF6"/>
    <w:multiLevelType w:val="hybridMultilevel"/>
    <w:tmpl w:val="F658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E53B8B"/>
    <w:multiLevelType w:val="hybridMultilevel"/>
    <w:tmpl w:val="20DCDB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B7C11E5"/>
    <w:multiLevelType w:val="hybridMultilevel"/>
    <w:tmpl w:val="6AAE29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C80762A"/>
    <w:multiLevelType w:val="hybridMultilevel"/>
    <w:tmpl w:val="ED44EF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CDE7381"/>
    <w:multiLevelType w:val="hybridMultilevel"/>
    <w:tmpl w:val="FC167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11E75B1"/>
    <w:multiLevelType w:val="hybridMultilevel"/>
    <w:tmpl w:val="2FFC3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A76D89"/>
    <w:multiLevelType w:val="hybridMultilevel"/>
    <w:tmpl w:val="CEF2C8D2"/>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E394D14"/>
    <w:multiLevelType w:val="hybridMultilevel"/>
    <w:tmpl w:val="87EE4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57330"/>
    <w:multiLevelType w:val="hybridMultilevel"/>
    <w:tmpl w:val="B04CF5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2A1683A"/>
    <w:multiLevelType w:val="multilevel"/>
    <w:tmpl w:val="6FBAB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5DE1D0B"/>
    <w:multiLevelType w:val="hybridMultilevel"/>
    <w:tmpl w:val="AD46C9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D822C12"/>
    <w:multiLevelType w:val="hybridMultilevel"/>
    <w:tmpl w:val="CF1E5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6CF04ED"/>
    <w:multiLevelType w:val="multilevel"/>
    <w:tmpl w:val="75327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E244B5C"/>
    <w:multiLevelType w:val="hybridMultilevel"/>
    <w:tmpl w:val="8432ED32"/>
    <w:lvl w:ilvl="0" w:tplc="04090005">
      <w:start w:val="1"/>
      <w:numFmt w:val="bullet"/>
      <w:lvlText w:val=""/>
      <w:lvlJc w:val="left"/>
      <w:pPr>
        <w:ind w:left="441" w:hanging="360"/>
      </w:pPr>
      <w:rPr>
        <w:rFonts w:ascii="Wingdings" w:hAnsi="Wingdings"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38" w15:restartNumberingAfterBreak="0">
    <w:nsid w:val="5F6D171B"/>
    <w:multiLevelType w:val="hybridMultilevel"/>
    <w:tmpl w:val="51D8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67DA7"/>
    <w:multiLevelType w:val="hybridMultilevel"/>
    <w:tmpl w:val="A5B6B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51F71D4"/>
    <w:multiLevelType w:val="hybridMultilevel"/>
    <w:tmpl w:val="3DC28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5"/>
  </w:num>
  <w:num w:numId="2">
    <w:abstractNumId w:val="16"/>
  </w:num>
  <w:num w:numId="3">
    <w:abstractNumId w:val="10"/>
  </w:num>
  <w:num w:numId="4">
    <w:abstractNumId w:val="40"/>
  </w:num>
  <w:num w:numId="5">
    <w:abstractNumId w:val="17"/>
  </w:num>
  <w:num w:numId="6">
    <w:abstractNumId w:val="26"/>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36"/>
  </w:num>
  <w:num w:numId="21">
    <w:abstractNumId w:val="30"/>
  </w:num>
  <w:num w:numId="22">
    <w:abstractNumId w:val="13"/>
  </w:num>
  <w:num w:numId="23">
    <w:abstractNumId w:val="42"/>
  </w:num>
  <w:num w:numId="24">
    <w:abstractNumId w:val="33"/>
  </w:num>
  <w:num w:numId="25">
    <w:abstractNumId w:val="41"/>
  </w:num>
  <w:num w:numId="26">
    <w:abstractNumId w:val="24"/>
  </w:num>
  <w:num w:numId="27">
    <w:abstractNumId w:val="15"/>
  </w:num>
  <w:num w:numId="28">
    <w:abstractNumId w:val="15"/>
  </w:num>
  <w:num w:numId="29">
    <w:abstractNumId w:val="39"/>
  </w:num>
  <w:num w:numId="30">
    <w:abstractNumId w:val="14"/>
  </w:num>
  <w:num w:numId="31">
    <w:abstractNumId w:val="11"/>
  </w:num>
  <w:num w:numId="32">
    <w:abstractNumId w:val="21"/>
  </w:num>
  <w:num w:numId="33">
    <w:abstractNumId w:val="18"/>
  </w:num>
  <w:num w:numId="34">
    <w:abstractNumId w:val="19"/>
  </w:num>
  <w:num w:numId="35">
    <w:abstractNumId w:val="28"/>
  </w:num>
  <w:num w:numId="36">
    <w:abstractNumId w:val="31"/>
  </w:num>
  <w:num w:numId="37">
    <w:abstractNumId w:val="22"/>
  </w:num>
  <w:num w:numId="38">
    <w:abstractNumId w:val="38"/>
  </w:num>
  <w:num w:numId="39">
    <w:abstractNumId w:val="12"/>
  </w:num>
  <w:num w:numId="40">
    <w:abstractNumId w:val="25"/>
  </w:num>
  <w:num w:numId="41">
    <w:abstractNumId w:val="27"/>
  </w:num>
  <w:num w:numId="42">
    <w:abstractNumId w:val="34"/>
  </w:num>
  <w:num w:numId="43">
    <w:abstractNumId w:val="2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1E"/>
    <w:rsid w:val="00033F11"/>
    <w:rsid w:val="00043DC0"/>
    <w:rsid w:val="00051FC6"/>
    <w:rsid w:val="00057A2E"/>
    <w:rsid w:val="000740FA"/>
    <w:rsid w:val="000C0C6C"/>
    <w:rsid w:val="00113C6F"/>
    <w:rsid w:val="0012361A"/>
    <w:rsid w:val="0015453F"/>
    <w:rsid w:val="00187857"/>
    <w:rsid w:val="0019055B"/>
    <w:rsid w:val="001B4C61"/>
    <w:rsid w:val="001D24C6"/>
    <w:rsid w:val="00213B86"/>
    <w:rsid w:val="00237273"/>
    <w:rsid w:val="00271E1D"/>
    <w:rsid w:val="00282F16"/>
    <w:rsid w:val="00284CD5"/>
    <w:rsid w:val="002B35B5"/>
    <w:rsid w:val="002B713F"/>
    <w:rsid w:val="002F6C60"/>
    <w:rsid w:val="003011C2"/>
    <w:rsid w:val="003035D7"/>
    <w:rsid w:val="003117D3"/>
    <w:rsid w:val="0036343C"/>
    <w:rsid w:val="00373271"/>
    <w:rsid w:val="003A05F7"/>
    <w:rsid w:val="003B08D9"/>
    <w:rsid w:val="003B6452"/>
    <w:rsid w:val="003C374F"/>
    <w:rsid w:val="003D5062"/>
    <w:rsid w:val="003D77B8"/>
    <w:rsid w:val="003F0F93"/>
    <w:rsid w:val="003F1358"/>
    <w:rsid w:val="003F5427"/>
    <w:rsid w:val="00427F25"/>
    <w:rsid w:val="0043736E"/>
    <w:rsid w:val="004608E9"/>
    <w:rsid w:val="00477FBF"/>
    <w:rsid w:val="004868D4"/>
    <w:rsid w:val="00493463"/>
    <w:rsid w:val="00507E50"/>
    <w:rsid w:val="00571249"/>
    <w:rsid w:val="00582994"/>
    <w:rsid w:val="005912C4"/>
    <w:rsid w:val="00610CAB"/>
    <w:rsid w:val="00613032"/>
    <w:rsid w:val="006307A3"/>
    <w:rsid w:val="00645252"/>
    <w:rsid w:val="00650BF7"/>
    <w:rsid w:val="00666D4E"/>
    <w:rsid w:val="006A3506"/>
    <w:rsid w:val="006A7B2F"/>
    <w:rsid w:val="006D3D74"/>
    <w:rsid w:val="006F4C04"/>
    <w:rsid w:val="007207BB"/>
    <w:rsid w:val="00781556"/>
    <w:rsid w:val="007B03A3"/>
    <w:rsid w:val="007B6DDF"/>
    <w:rsid w:val="007C3672"/>
    <w:rsid w:val="007D50C2"/>
    <w:rsid w:val="007E73AE"/>
    <w:rsid w:val="0083569A"/>
    <w:rsid w:val="008417A1"/>
    <w:rsid w:val="00842B55"/>
    <w:rsid w:val="00843187"/>
    <w:rsid w:val="008510F5"/>
    <w:rsid w:val="008579B0"/>
    <w:rsid w:val="008810E4"/>
    <w:rsid w:val="00885DD7"/>
    <w:rsid w:val="00890D26"/>
    <w:rsid w:val="008B6D67"/>
    <w:rsid w:val="008C5BC8"/>
    <w:rsid w:val="008F211E"/>
    <w:rsid w:val="00965206"/>
    <w:rsid w:val="00990589"/>
    <w:rsid w:val="009A6EF5"/>
    <w:rsid w:val="009B2FA1"/>
    <w:rsid w:val="009C5EE0"/>
    <w:rsid w:val="009D149B"/>
    <w:rsid w:val="009D2F15"/>
    <w:rsid w:val="009E19B0"/>
    <w:rsid w:val="009F2C83"/>
    <w:rsid w:val="009F7302"/>
    <w:rsid w:val="00A21B32"/>
    <w:rsid w:val="00A52460"/>
    <w:rsid w:val="00A746C9"/>
    <w:rsid w:val="00A836B4"/>
    <w:rsid w:val="00A91352"/>
    <w:rsid w:val="00A9204E"/>
    <w:rsid w:val="00AC3E26"/>
    <w:rsid w:val="00AC5CD3"/>
    <w:rsid w:val="00AD124C"/>
    <w:rsid w:val="00AE5EB1"/>
    <w:rsid w:val="00B113C5"/>
    <w:rsid w:val="00B66145"/>
    <w:rsid w:val="00B770EE"/>
    <w:rsid w:val="00C01168"/>
    <w:rsid w:val="00C212A9"/>
    <w:rsid w:val="00C6268C"/>
    <w:rsid w:val="00C6793E"/>
    <w:rsid w:val="00C73708"/>
    <w:rsid w:val="00CB652B"/>
    <w:rsid w:val="00CC7B7E"/>
    <w:rsid w:val="00CE308C"/>
    <w:rsid w:val="00CF227B"/>
    <w:rsid w:val="00D13385"/>
    <w:rsid w:val="00D14779"/>
    <w:rsid w:val="00D54AE9"/>
    <w:rsid w:val="00D955D3"/>
    <w:rsid w:val="00DD7B19"/>
    <w:rsid w:val="00E21CE9"/>
    <w:rsid w:val="00E55DF5"/>
    <w:rsid w:val="00E95C0F"/>
    <w:rsid w:val="00EA3C0B"/>
    <w:rsid w:val="00EC2D4B"/>
    <w:rsid w:val="00ED2D98"/>
    <w:rsid w:val="00EE18F4"/>
    <w:rsid w:val="00EE4746"/>
    <w:rsid w:val="00F77042"/>
    <w:rsid w:val="00F825A3"/>
    <w:rsid w:val="00FE0FB0"/>
    <w:rsid w:val="00FE103F"/>
    <w:rsid w:val="00FF12D2"/>
    <w:rsid w:val="0F4BE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C4525"/>
  <w15:chartTrackingRefBased/>
  <w15:docId w15:val="{5858841C-21CD-4FE5-ADFD-A0D5971A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11E"/>
    <w:rPr>
      <w:rFonts w:ascii="Calibri" w:hAnsi="Calibri" w:cs="Calibri"/>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A7B2F"/>
    <w:pPr>
      <w:ind w:left="720"/>
      <w:contextualSpacing/>
    </w:pPr>
  </w:style>
  <w:style w:type="character" w:styleId="UnresolvedMention">
    <w:name w:val="Unresolved Mention"/>
    <w:basedOn w:val="DefaultParagraphFont"/>
    <w:uiPriority w:val="99"/>
    <w:semiHidden/>
    <w:unhideWhenUsed/>
    <w:rsid w:val="00571249"/>
    <w:rPr>
      <w:color w:val="605E5C"/>
      <w:shd w:val="clear" w:color="auto" w:fill="E1DFDD"/>
    </w:rPr>
  </w:style>
  <w:style w:type="character" w:customStyle="1" w:styleId="normaltextrun">
    <w:name w:val="normaltextrun"/>
    <w:basedOn w:val="DefaultParagraphFont"/>
    <w:rsid w:val="00890D26"/>
  </w:style>
  <w:style w:type="table" w:styleId="TableGrid">
    <w:name w:val="Table Grid"/>
    <w:basedOn w:val="TableNormal"/>
    <w:uiPriority w:val="39"/>
    <w:rsid w:val="00D54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bold">
    <w:name w:val="outputtextbold"/>
    <w:basedOn w:val="DefaultParagraphFont"/>
    <w:rsid w:val="00610CAB"/>
  </w:style>
  <w:style w:type="paragraph" w:styleId="Revision">
    <w:name w:val="Revision"/>
    <w:hidden/>
    <w:uiPriority w:val="99"/>
    <w:semiHidden/>
    <w:rsid w:val="00E95C0F"/>
    <w:rPr>
      <w:rFonts w:ascii="Calibri" w:hAnsi="Calibri" w:cs="Calibri"/>
    </w:rPr>
  </w:style>
  <w:style w:type="paragraph" w:styleId="NormalWeb">
    <w:name w:val="Normal (Web)"/>
    <w:basedOn w:val="Normal"/>
    <w:uiPriority w:val="99"/>
    <w:semiHidden/>
    <w:unhideWhenUsed/>
    <w:rsid w:val="009A6EF5"/>
    <w:pPr>
      <w:spacing w:before="100" w:beforeAutospacing="1" w:after="100" w:afterAutospacing="1"/>
    </w:pPr>
  </w:style>
  <w:style w:type="paragraph" w:customStyle="1" w:styleId="Default">
    <w:name w:val="Default"/>
    <w:basedOn w:val="Normal"/>
    <w:uiPriority w:val="99"/>
    <w:semiHidden/>
    <w:rsid w:val="009A6EF5"/>
    <w:pPr>
      <w:autoSpaceDE w:val="0"/>
      <w:autoSpaceDN w:val="0"/>
    </w:pPr>
    <w:rPr>
      <w:rFonts w:ascii="Times New Roman" w:hAnsi="Times New Roman" w:cs="Times New Roman"/>
      <w:color w:val="000000"/>
      <w:sz w:val="24"/>
      <w:szCs w:val="24"/>
    </w:rPr>
  </w:style>
  <w:style w:type="character" w:customStyle="1" w:styleId="eop">
    <w:name w:val="eop"/>
    <w:basedOn w:val="DefaultParagraphFont"/>
    <w:rsid w:val="00C01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05669">
      <w:bodyDiv w:val="1"/>
      <w:marLeft w:val="0"/>
      <w:marRight w:val="0"/>
      <w:marTop w:val="0"/>
      <w:marBottom w:val="0"/>
      <w:divBdr>
        <w:top w:val="none" w:sz="0" w:space="0" w:color="auto"/>
        <w:left w:val="none" w:sz="0" w:space="0" w:color="auto"/>
        <w:bottom w:val="none" w:sz="0" w:space="0" w:color="auto"/>
        <w:right w:val="none" w:sz="0" w:space="0" w:color="auto"/>
      </w:divBdr>
    </w:div>
    <w:div w:id="699011904">
      <w:bodyDiv w:val="1"/>
      <w:marLeft w:val="0"/>
      <w:marRight w:val="0"/>
      <w:marTop w:val="0"/>
      <w:marBottom w:val="0"/>
      <w:divBdr>
        <w:top w:val="none" w:sz="0" w:space="0" w:color="auto"/>
        <w:left w:val="none" w:sz="0" w:space="0" w:color="auto"/>
        <w:bottom w:val="none" w:sz="0" w:space="0" w:color="auto"/>
        <w:right w:val="none" w:sz="0" w:space="0" w:color="auto"/>
      </w:divBdr>
    </w:div>
    <w:div w:id="1015110658">
      <w:bodyDiv w:val="1"/>
      <w:marLeft w:val="0"/>
      <w:marRight w:val="0"/>
      <w:marTop w:val="0"/>
      <w:marBottom w:val="0"/>
      <w:divBdr>
        <w:top w:val="none" w:sz="0" w:space="0" w:color="auto"/>
        <w:left w:val="none" w:sz="0" w:space="0" w:color="auto"/>
        <w:bottom w:val="none" w:sz="0" w:space="0" w:color="auto"/>
        <w:right w:val="none" w:sz="0" w:space="0" w:color="auto"/>
      </w:divBdr>
    </w:div>
    <w:div w:id="1626160065">
      <w:bodyDiv w:val="1"/>
      <w:marLeft w:val="0"/>
      <w:marRight w:val="0"/>
      <w:marTop w:val="0"/>
      <w:marBottom w:val="0"/>
      <w:divBdr>
        <w:top w:val="none" w:sz="0" w:space="0" w:color="auto"/>
        <w:left w:val="none" w:sz="0" w:space="0" w:color="auto"/>
        <w:bottom w:val="none" w:sz="0" w:space="0" w:color="auto"/>
        <w:right w:val="none" w:sz="0" w:space="0" w:color="auto"/>
      </w:divBdr>
    </w:div>
    <w:div w:id="1639988157">
      <w:bodyDiv w:val="1"/>
      <w:marLeft w:val="0"/>
      <w:marRight w:val="0"/>
      <w:marTop w:val="0"/>
      <w:marBottom w:val="0"/>
      <w:divBdr>
        <w:top w:val="none" w:sz="0" w:space="0" w:color="auto"/>
        <w:left w:val="none" w:sz="0" w:space="0" w:color="auto"/>
        <w:bottom w:val="none" w:sz="0" w:space="0" w:color="auto"/>
        <w:right w:val="none" w:sz="0" w:space="0" w:color="auto"/>
      </w:divBdr>
    </w:div>
    <w:div w:id="17416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55991.04FDCE9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dqo\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7E264A42E664DAD6F26238D3DE33B" ma:contentTypeVersion="6" ma:contentTypeDescription="Create a new document." ma:contentTypeScope="" ma:versionID="10680b78a455bc22e790fcf7d0d5545f">
  <xsd:schema xmlns:xsd="http://www.w3.org/2001/XMLSchema" xmlns:xs="http://www.w3.org/2001/XMLSchema" xmlns:p="http://schemas.microsoft.com/office/2006/metadata/properties" xmlns:ns2="ac358053-5afb-46b9-9ecb-c4bccad93a9b" xmlns:ns3="7279d539-73a0-48e3-bf81-55e6ab939062" targetNamespace="http://schemas.microsoft.com/office/2006/metadata/properties" ma:root="true" ma:fieldsID="19be474dbfac1d10436d90a7bce3caae" ns2:_="" ns3:_="">
    <xsd:import namespace="ac358053-5afb-46b9-9ecb-c4bccad93a9b"/>
    <xsd:import namespace="7279d539-73a0-48e3-bf81-55e6ab939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58053-5afb-46b9-9ecb-c4bccad93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9d539-73a0-48e3-bf81-55e6ab9390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6F7A6-A4EC-4693-912A-B8A9E6C92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58053-5afb-46b9-9ecb-c4bccad93a9b"/>
    <ds:schemaRef ds:uri="7279d539-73a0-48e3-bf81-55e6ab939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952BD-21C0-4A13-8F59-3B0FB5AE65A3}">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(blank)(5).dotx</Template>
  <TotalTime>4</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Ruth (Education)</dc:creator>
  <cp:keywords/>
  <dc:description/>
  <cp:lastModifiedBy>Montes, Eric</cp:lastModifiedBy>
  <cp:revision>4</cp:revision>
  <cp:lastPrinted>2019-10-23T13:44:00Z</cp:lastPrinted>
  <dcterms:created xsi:type="dcterms:W3CDTF">2020-03-27T15:06:00Z</dcterms:created>
  <dcterms:modified xsi:type="dcterms:W3CDTF">2020-03-27T17:27:00Z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0x0101000EF7E264A42E664DAD6F26238D3DE33B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00f67c3f-becf-4b15-a9a1-5e74eebe1a63_Enabled">
    <vt:lpwstr>True</vt:lpwstr>
  </property>
  <property fmtid="{D5CDD505-2E9C-101B-9397-08002B2CF9AE}" pid="9" name="MSIP_Label_00f67c3f-becf-4b15-a9a1-5e74eebe1a63_SiteId">
    <vt:lpwstr>88b431e7-cf2a-43a9-bd00-81441f5c2d3c</vt:lpwstr>
  </property>
  <property fmtid="{D5CDD505-2E9C-101B-9397-08002B2CF9AE}" pid="10" name="MSIP_Label_00f67c3f-becf-4b15-a9a1-5e74eebe1a63_Owner">
    <vt:lpwstr>Ruth.Morris1@allstate.com</vt:lpwstr>
  </property>
  <property fmtid="{D5CDD505-2E9C-101B-9397-08002B2CF9AE}" pid="11" name="MSIP_Label_00f67c3f-becf-4b15-a9a1-5e74eebe1a63_SetDate">
    <vt:lpwstr>2019-10-22T16:23:31.9445367Z</vt:lpwstr>
  </property>
  <property fmtid="{D5CDD505-2E9C-101B-9397-08002B2CF9AE}" pid="12" name="MSIP_Label_00f67c3f-becf-4b15-a9a1-5e74eebe1a63_Name">
    <vt:lpwstr>Confidential</vt:lpwstr>
  </property>
  <property fmtid="{D5CDD505-2E9C-101B-9397-08002B2CF9AE}" pid="13" name="MSIP_Label_00f67c3f-becf-4b15-a9a1-5e74eebe1a63_Application">
    <vt:lpwstr>Microsoft Azure Information Protection</vt:lpwstr>
  </property>
  <property fmtid="{D5CDD505-2E9C-101B-9397-08002B2CF9AE}" pid="14" name="MSIP_Label_00f67c3f-becf-4b15-a9a1-5e74eebe1a63_Extended_MSFT_Method">
    <vt:lpwstr>Manual</vt:lpwstr>
  </property>
  <property fmtid="{D5CDD505-2E9C-101B-9397-08002B2CF9AE}" pid="15" name="MSIP_Label_8450f82c-56dc-4405-8a81-af30d337bbf4_Enabled">
    <vt:lpwstr>True</vt:lpwstr>
  </property>
  <property fmtid="{D5CDD505-2E9C-101B-9397-08002B2CF9AE}" pid="16" name="MSIP_Label_8450f82c-56dc-4405-8a81-af30d337bbf4_SiteId">
    <vt:lpwstr>88b431e7-cf2a-43a9-bd00-81441f5c2d3c</vt:lpwstr>
  </property>
  <property fmtid="{D5CDD505-2E9C-101B-9397-08002B2CF9AE}" pid="17" name="MSIP_Label_8450f82c-56dc-4405-8a81-af30d337bbf4_Owner">
    <vt:lpwstr>Ruth.Morris1@allstate.com</vt:lpwstr>
  </property>
  <property fmtid="{D5CDD505-2E9C-101B-9397-08002B2CF9AE}" pid="18" name="MSIP_Label_8450f82c-56dc-4405-8a81-af30d337bbf4_SetDate">
    <vt:lpwstr>2019-10-22T16:23:31.9445367Z</vt:lpwstr>
  </property>
  <property fmtid="{D5CDD505-2E9C-101B-9397-08002B2CF9AE}" pid="19" name="MSIP_Label_8450f82c-56dc-4405-8a81-af30d337bbf4_Name">
    <vt:lpwstr>No Watermark</vt:lpwstr>
  </property>
  <property fmtid="{D5CDD505-2E9C-101B-9397-08002B2CF9AE}" pid="20" name="MSIP_Label_8450f82c-56dc-4405-8a81-af30d337bbf4_Application">
    <vt:lpwstr>Microsoft Azure Information Protection</vt:lpwstr>
  </property>
  <property fmtid="{D5CDD505-2E9C-101B-9397-08002B2CF9AE}" pid="21" name="MSIP_Label_8450f82c-56dc-4405-8a81-af30d337bbf4_Parent">
    <vt:lpwstr>00f67c3f-becf-4b15-a9a1-5e74eebe1a63</vt:lpwstr>
  </property>
  <property fmtid="{D5CDD505-2E9C-101B-9397-08002B2CF9AE}" pid="22" name="MSIP_Label_8450f82c-56dc-4405-8a81-af30d337bbf4_Extended_MSFT_Method">
    <vt:lpwstr>Manual</vt:lpwstr>
  </property>
  <property fmtid="{D5CDD505-2E9C-101B-9397-08002B2CF9AE}" pid="23" name="Sensitivity">
    <vt:lpwstr>Confidential No Watermark</vt:lpwstr>
  </property>
</Properties>
</file>